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shd w:val="clear" w:color="auto" w:fill="FFFFFF"/>
        <w:tblCellMar>
          <w:top w:w="15" w:type="dxa"/>
          <w:left w:w="15" w:type="dxa"/>
          <w:bottom w:w="15" w:type="dxa"/>
          <w:right w:w="15" w:type="dxa"/>
        </w:tblCellMar>
        <w:tblLook w:val="04A0"/>
      </w:tblPr>
      <w:tblGrid>
        <w:gridCol w:w="8966"/>
      </w:tblGrid>
      <w:tr w:rsidR="00F1759E" w:rsidRPr="00F1759E" w:rsidTr="00F1759E">
        <w:trPr>
          <w:tblCellSpacing w:w="15" w:type="dxa"/>
          <w:jc w:val="center"/>
        </w:trPr>
        <w:tc>
          <w:tcPr>
            <w:tcW w:w="0" w:type="auto"/>
            <w:shd w:val="clear" w:color="auto" w:fill="FFFFFF"/>
            <w:tcMar>
              <w:top w:w="15" w:type="dxa"/>
              <w:left w:w="300" w:type="dxa"/>
              <w:bottom w:w="15" w:type="dxa"/>
              <w:right w:w="300" w:type="dxa"/>
            </w:tcMar>
            <w:vAlign w:val="center"/>
            <w:hideMark/>
          </w:tcPr>
          <w:p w:rsidR="00F1759E" w:rsidRPr="00F1759E" w:rsidRDefault="00F1759E" w:rsidP="00F1759E">
            <w:pPr>
              <w:adjustRightInd/>
              <w:snapToGrid/>
              <w:spacing w:after="0" w:line="525" w:lineRule="atLeast"/>
              <w:jc w:val="center"/>
              <w:rPr>
                <w:rFonts w:ascii="Arial" w:eastAsia="宋体" w:hAnsi="Arial" w:cs="Arial"/>
                <w:color w:val="000000"/>
                <w:sz w:val="42"/>
                <w:szCs w:val="42"/>
              </w:rPr>
            </w:pPr>
            <w:r w:rsidRPr="00F1759E">
              <w:rPr>
                <w:rFonts w:ascii="Arial" w:eastAsia="宋体" w:hAnsi="Arial" w:cs="Arial"/>
                <w:b/>
                <w:bCs/>
                <w:color w:val="000000"/>
                <w:sz w:val="42"/>
              </w:rPr>
              <w:t>危险性较大的分部分项工程安全管理规定</w:t>
            </w:r>
          </w:p>
        </w:tc>
      </w:tr>
      <w:tr w:rsidR="00F1759E" w:rsidRPr="00F1759E" w:rsidTr="00F1759E">
        <w:trPr>
          <w:tblCellSpacing w:w="15" w:type="dxa"/>
          <w:jc w:val="center"/>
        </w:trPr>
        <w:tc>
          <w:tcPr>
            <w:tcW w:w="5000" w:type="pct"/>
            <w:shd w:val="clear" w:color="auto" w:fill="FFFFFF"/>
            <w:vAlign w:val="center"/>
            <w:hideMark/>
          </w:tcPr>
          <w:p w:rsidR="00F1759E" w:rsidRPr="00F1759E" w:rsidRDefault="00F1759E" w:rsidP="00F1759E">
            <w:pPr>
              <w:adjustRightInd/>
              <w:snapToGrid/>
              <w:spacing w:after="0"/>
              <w:jc w:val="center"/>
              <w:rPr>
                <w:rFonts w:ascii="Arial" w:eastAsia="宋体" w:hAnsi="Arial" w:cs="Arial"/>
                <w:color w:val="000000"/>
                <w:sz w:val="18"/>
                <w:szCs w:val="18"/>
              </w:rPr>
            </w:pPr>
          </w:p>
        </w:tc>
      </w:tr>
      <w:tr w:rsidR="00F1759E" w:rsidRPr="00F1759E" w:rsidTr="00F1759E">
        <w:trPr>
          <w:tblCellSpacing w:w="15" w:type="dxa"/>
          <w:jc w:val="center"/>
        </w:trPr>
        <w:tc>
          <w:tcPr>
            <w:tcW w:w="5000" w:type="pct"/>
            <w:shd w:val="clear" w:color="auto" w:fill="FFFFFF"/>
            <w:hideMark/>
          </w:tcPr>
          <w:p w:rsidR="00F1759E" w:rsidRPr="00F1759E" w:rsidRDefault="00F1759E" w:rsidP="00F1759E">
            <w:pPr>
              <w:adjustRightInd/>
              <w:snapToGrid/>
              <w:spacing w:after="0"/>
              <w:ind w:firstLine="2160"/>
              <w:rPr>
                <w:rFonts w:ascii="宋体" w:eastAsia="宋体" w:hAnsi="宋体" w:cs="Arial"/>
                <w:color w:val="000000"/>
                <w:sz w:val="18"/>
                <w:szCs w:val="18"/>
              </w:rPr>
            </w:pPr>
            <w:r w:rsidRPr="00F1759E">
              <w:rPr>
                <w:rFonts w:ascii="宋体" w:eastAsia="宋体" w:hAnsi="宋体" w:cs="Arial" w:hint="eastAsia"/>
                <w:color w:val="000000"/>
                <w:sz w:val="18"/>
                <w:szCs w:val="18"/>
              </w:rPr>
              <w:t>             中华人民共和国住房和城乡建设部令第37号</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《危险性较大的分部分项工程安全管理规定》已经2018年2月12日第37次部常务会议审议通过，现予发布，自2018年6月1日起施行。</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住房城乡建设部部长　王蒙徽 </w:t>
            </w:r>
            <w:r w:rsidRPr="00F1759E">
              <w:rPr>
                <w:rFonts w:ascii="宋体" w:eastAsia="宋体" w:hAnsi="宋体" w:cs="Arial" w:hint="eastAsia"/>
                <w:color w:val="000000"/>
                <w:sz w:val="18"/>
                <w:szCs w:val="18"/>
              </w:rPr>
              <w:br/>
              <w:t xml:space="preserve">　　　　　　　　　　　　　　　　　　　　　　　　　　　　　　　　　　　                      2018年3月8日</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w:t>
            </w:r>
          </w:p>
          <w:p w:rsidR="00F1759E" w:rsidRPr="00F1759E" w:rsidRDefault="00F1759E" w:rsidP="00F1759E">
            <w:pPr>
              <w:adjustRightInd/>
              <w:snapToGrid/>
              <w:spacing w:after="0" w:line="360" w:lineRule="atLeast"/>
              <w:jc w:val="center"/>
              <w:rPr>
                <w:rFonts w:ascii="宋体" w:eastAsia="宋体" w:hAnsi="宋体" w:cs="Arial" w:hint="eastAsia"/>
                <w:color w:val="000000"/>
                <w:sz w:val="18"/>
                <w:szCs w:val="18"/>
              </w:rPr>
            </w:pPr>
            <w:r w:rsidRPr="00F1759E">
              <w:rPr>
                <w:rFonts w:ascii="宋体" w:eastAsia="宋体" w:hAnsi="宋体" w:cs="Arial" w:hint="eastAsia"/>
                <w:b/>
                <w:bCs/>
                <w:color w:val="000000"/>
                <w:sz w:val="18"/>
              </w:rPr>
              <w:t>危险性较大的分部分项工程安全管理规定</w:t>
            </w:r>
          </w:p>
          <w:p w:rsidR="00F1759E" w:rsidRPr="00F1759E" w:rsidRDefault="00F1759E" w:rsidP="00F1759E">
            <w:pPr>
              <w:adjustRightInd/>
              <w:snapToGrid/>
              <w:spacing w:after="0" w:line="360" w:lineRule="atLeast"/>
              <w:jc w:val="center"/>
              <w:rPr>
                <w:rFonts w:ascii="宋体" w:eastAsia="宋体" w:hAnsi="宋体" w:cs="Arial" w:hint="eastAsia"/>
                <w:color w:val="000000"/>
                <w:sz w:val="18"/>
                <w:szCs w:val="18"/>
              </w:rPr>
            </w:pPr>
            <w:r w:rsidRPr="00F1759E">
              <w:rPr>
                <w:rFonts w:ascii="宋体" w:eastAsia="宋体" w:hAnsi="宋体" w:cs="Arial" w:hint="eastAsia"/>
                <w:b/>
                <w:bCs/>
                <w:color w:val="000000"/>
                <w:sz w:val="18"/>
              </w:rPr>
              <w:t>第一章　总则</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第一条　为加强对房屋建筑和市政基础设施工程中危险性较大的分部分项工程安全管理，有效防范生产安全事故，依据《中华人民共和国建筑法》《中华人民共和国安全生产法》《建设工程安全生产管理条例》等法律法规，制定本规定。</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第二条　本规定适用于房屋建筑和市政基础设施工程中危险性较大的分部分项工程安全管理。</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第三条　本规定所称危险性较大的分部分项工程（以下简称“危大工程”），是指房屋建筑和市政基础设施工程在施工过程中，容易导致人员群死群伤或者造成重大经济损失的分部分项工程。</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危大工程及超过一定规模的危大工程范围由国务院住房城乡建设主管部门制定。</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省级住房城乡建设主管部门可以结合本地区实际情况，补充本地区危大工程范围。</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第四条　国务院住房城乡建设主管部门负责全国危大工程安全管理的指导监督。</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县级以上地方人民政府住房城乡建设主管部门负责本行政区域内危大工程的安全监督管理。</w:t>
            </w:r>
          </w:p>
          <w:p w:rsidR="00F1759E" w:rsidRPr="00F1759E" w:rsidRDefault="00F1759E" w:rsidP="00F1759E">
            <w:pPr>
              <w:adjustRightInd/>
              <w:snapToGrid/>
              <w:spacing w:after="0" w:line="360" w:lineRule="atLeast"/>
              <w:jc w:val="center"/>
              <w:rPr>
                <w:rFonts w:ascii="宋体" w:eastAsia="宋体" w:hAnsi="宋体" w:cs="Arial" w:hint="eastAsia"/>
                <w:color w:val="000000"/>
                <w:sz w:val="18"/>
                <w:szCs w:val="18"/>
              </w:rPr>
            </w:pPr>
            <w:r w:rsidRPr="00F1759E">
              <w:rPr>
                <w:rFonts w:ascii="宋体" w:eastAsia="宋体" w:hAnsi="宋体" w:cs="Arial" w:hint="eastAsia"/>
                <w:b/>
                <w:bCs/>
                <w:color w:val="000000"/>
                <w:sz w:val="18"/>
              </w:rPr>
              <w:t>第二章　前期保障</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第五条　建设单位应当依法提供真实、准确、完整的工程地质、水文地质和工程周边环境等资料。</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第六条　勘察单位应当根据工程实际及工程周边环境资料，在勘察文件中说明地质条件可能造成的工程风险。</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设计单位应当在设计文件中注明涉及危大工程的重点部位和环节，提出保障工程周边环境安全和工程施工安全的意见，必要时进行专项设计。</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第七条　建设单位应当组织勘察、设计等单位在施工招标文件中列出危大工程清单，要求施工单位在投标时补充完善危大工程清单并明确相应的安全管理措施。</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第八条　建设单位应当按照施工合同约定及时支付危大工程施工技术措施费以及相应的安全防护文明施工措施费，保障危大工程施工安全。</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第九条　建设单位在申请办理安全监督手续时，应当提交危大工程清单及其安全管理措施等资料。</w:t>
            </w:r>
          </w:p>
          <w:p w:rsidR="00F1759E" w:rsidRPr="00F1759E" w:rsidRDefault="00F1759E" w:rsidP="00F1759E">
            <w:pPr>
              <w:adjustRightInd/>
              <w:snapToGrid/>
              <w:spacing w:after="0" w:line="360" w:lineRule="atLeast"/>
              <w:jc w:val="center"/>
              <w:rPr>
                <w:rFonts w:ascii="宋体" w:eastAsia="宋体" w:hAnsi="宋体" w:cs="Arial" w:hint="eastAsia"/>
                <w:color w:val="000000"/>
                <w:sz w:val="18"/>
                <w:szCs w:val="18"/>
              </w:rPr>
            </w:pPr>
            <w:r w:rsidRPr="00F1759E">
              <w:rPr>
                <w:rFonts w:ascii="宋体" w:eastAsia="宋体" w:hAnsi="宋体" w:cs="Arial" w:hint="eastAsia"/>
                <w:b/>
                <w:bCs/>
                <w:color w:val="000000"/>
                <w:sz w:val="18"/>
              </w:rPr>
              <w:t>第三章　专项施工方案</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第十条　施工单位应当在危大工程施工前组织工程技术人员编制专项施工方案。</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实行施工总承包的，专项施工方案应当由施工总承包单位组织编制。危大工程实行分包的，专项施工方案可以由相关专业分包单位组织编制。</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第十一条　专项施工方案应当由施工单位技术负责人审核签字、加盖单位公章，并由总监理工程师审查签</w:t>
            </w:r>
            <w:r w:rsidRPr="00F1759E">
              <w:rPr>
                <w:rFonts w:ascii="宋体" w:eastAsia="宋体" w:hAnsi="宋体" w:cs="Arial" w:hint="eastAsia"/>
                <w:color w:val="000000"/>
                <w:sz w:val="18"/>
                <w:szCs w:val="18"/>
              </w:rPr>
              <w:lastRenderedPageBreak/>
              <w:t>字、加盖执业印章后方可实施。</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危大工程实行分包并由分包单位编制专项施工方案的，专项施工方案应当由总承包单位技术负责人及分包单位技术负责人共同审核签字并加盖单位公章。</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专家应当从地方人民政府住房城乡建设主管部门建立的专家库中选取，符合专业要求且人数不得少于5名。与本工程有利害关系的人员不得以专家身份参加专家论证会。</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第十三条　专家论证会后，应当形成论证报告，对专项施工方案提出通过、修改后通过或者不通过的一致意见。专家对论证报告负责并签字确认。</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专项施工方案经论证需修改后通过的，施工单位应当根据论证报告修改完善后，重新履行本规定第十一条的程序。</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专项施工方案经论证不通过的，施工单位修改后应当按照本规定的要求重新组织专家论证。</w:t>
            </w:r>
          </w:p>
          <w:p w:rsidR="00F1759E" w:rsidRPr="00F1759E" w:rsidRDefault="00F1759E" w:rsidP="00F1759E">
            <w:pPr>
              <w:adjustRightInd/>
              <w:snapToGrid/>
              <w:spacing w:after="0" w:line="360" w:lineRule="atLeast"/>
              <w:jc w:val="center"/>
              <w:rPr>
                <w:rFonts w:ascii="宋体" w:eastAsia="宋体" w:hAnsi="宋体" w:cs="Arial" w:hint="eastAsia"/>
                <w:color w:val="000000"/>
                <w:sz w:val="18"/>
                <w:szCs w:val="18"/>
              </w:rPr>
            </w:pPr>
            <w:r w:rsidRPr="00F1759E">
              <w:rPr>
                <w:rFonts w:ascii="宋体" w:eastAsia="宋体" w:hAnsi="宋体" w:cs="Arial" w:hint="eastAsia"/>
                <w:b/>
                <w:bCs/>
                <w:color w:val="000000"/>
                <w:sz w:val="18"/>
              </w:rPr>
              <w:t>第四章　现场安全管理</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第十四条　施工单位应当在施工现场显著位置公告危大工程名称、施工时间和具体责任人员，并在危险区域设置安全警示标志。</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第十五条　专项施工方案实施前，编制人员或者项目技术负责人应当向施工现场管理人员进行方案交底。</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施工现场管理人员应当向作业人员进行安全技术交底，并由双方和项目专职安全生产管理人员共同签字确认。</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第十六条　施工单位应当严格按照专项施工方案组织施工，不得擅自修改专项施工方案。</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因规划调整、设计变更等原因确需调整的，修改后的专项施工方案应当按照本规定重新审核和论证。涉及资金或者工期调整的，建设单位应当按照约定予以调整。     </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第十七条　施工单位应当对危大工程施工作业人员进行登记，项目负责人应当在施工现场履职。</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项目专职安全生产管理人员应当对专项施工方案实施情况进行现场监督，对未按照专项施工方案施工的，应当要求立即整改，并及时报告项目负责人，项目负责人应当及时组织限期整改。</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施工单位应当按照规定对危大工程进行施工监测和安全巡视，发现危及人身安全的紧急情况，应当立即组织作业人员撤离危险区域。</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第十八条　监理单位应当结合危大工程专项施工方案编制监理实施细则，并对危大工程施工实施专项巡视检查。</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第二十条　对于按照规定需要进行第三方监测的危大工程，建设单位应当委托具有相应勘察资质的单位进行监测。</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监测单位应当编制监测方案。监测方案由监测单位技术负责人审核签字并加盖单位公章，报送监理单位后方可实施。</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监测单位应当按照监测方案开展监测，及时向建设单位报送监测成果，并对监测成果负责；发现异常时，及时向建设、设计、施工、监理单位报告，建设单位应当立即组织相关单位采取处置措施。</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lastRenderedPageBreak/>
              <w:t xml:space="preserve">　　第二十一条　对于按照规定需要验收的危大工程，施工单位、监理单位应当组织相关人员进行验收。验收合格的，经施工单位项目技术负责人及总监理工程师签字确认后，方可进入下一道工序。</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危大工程验收合格后，施工单位应当在施工现场明显位置设置验收标识牌，公示验收时间及责任人员。</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第二十二条　危大工程发生险情或者事故时，施工单位应当立即采取应急处置措施，并报告工程所在地住房城乡建设主管部门。建设、勘察、设计、监理等单位应当配合施工单位开展应急抢险工作。</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第二十三条　危大工程应急抢险结束后，建设单位应当组织勘察、设计、施工、监理等单位制定工程恢复方案，并对应急抢险工作进行后评估。</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第二十四条　施工、监理单位应当建立危大工程安全管理档案。</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施工单位应当将专项施工方案及审核、专家论证、交底、现场检查、验收及整改等相关资料纳入档案管理。</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监理单位应当将监理实施细则、专项施工方案审查、专项巡视检查、验收及整改等相关资料纳入档案管理。</w:t>
            </w:r>
          </w:p>
          <w:p w:rsidR="00F1759E" w:rsidRPr="00F1759E" w:rsidRDefault="00F1759E" w:rsidP="00F1759E">
            <w:pPr>
              <w:adjustRightInd/>
              <w:snapToGrid/>
              <w:spacing w:after="0" w:line="360" w:lineRule="atLeast"/>
              <w:jc w:val="center"/>
              <w:rPr>
                <w:rFonts w:ascii="宋体" w:eastAsia="宋体" w:hAnsi="宋体" w:cs="Arial" w:hint="eastAsia"/>
                <w:color w:val="000000"/>
                <w:sz w:val="18"/>
                <w:szCs w:val="18"/>
              </w:rPr>
            </w:pPr>
            <w:r w:rsidRPr="00F1759E">
              <w:rPr>
                <w:rFonts w:ascii="宋体" w:eastAsia="宋体" w:hAnsi="宋体" w:cs="Arial" w:hint="eastAsia"/>
                <w:b/>
                <w:bCs/>
                <w:color w:val="000000"/>
                <w:sz w:val="18"/>
              </w:rPr>
              <w:t>第五章　监督管理</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第二十五条　设区的市级以上地方人民政府住房城乡建设主管部门应当建立专家库，制定专家库管理制度，建立专家诚信档案，并向社会公布，接受社会监督。</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第二十六条　县级以上地方人民政府住房城乡建设主管部门或者所属施工安全监督机构，应当根据监督工作计划对危大工程进行抽查。</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县级以上地方人民政府住房城乡建设主管部门或者所属施工安全监督机构，可以通过政府购买技术服务方式，聘请具有专业技术能力的单位和人员对危大工程进行检查，所需费用向本级财政申请予以保障。</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第二十七条　县级以上地方人民政府住房城乡建设主管部门或者所属施工安全监督机构，在监督抽查中发现危大工程存在安全隐患的，应当责令施工单位整改；重大安全事故隐患排除前或者排除过程中无法保证安全的，责令从危险区域内撤出作业人员或者暂时停止施工；对依法应当给予行政处罚的行为，应当依法作出行政处罚决定。</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第二十八条　县级以上地方人民政府住房城乡建设主管部门应当将单位和个人的处罚信息纳入建筑施工安全生产不良信用记录。</w:t>
            </w:r>
          </w:p>
          <w:p w:rsidR="00F1759E" w:rsidRPr="00F1759E" w:rsidRDefault="00F1759E" w:rsidP="00F1759E">
            <w:pPr>
              <w:adjustRightInd/>
              <w:snapToGrid/>
              <w:spacing w:after="0" w:line="360" w:lineRule="atLeast"/>
              <w:jc w:val="center"/>
              <w:rPr>
                <w:rFonts w:ascii="宋体" w:eastAsia="宋体" w:hAnsi="宋体" w:cs="Arial" w:hint="eastAsia"/>
                <w:color w:val="000000"/>
                <w:sz w:val="18"/>
                <w:szCs w:val="18"/>
              </w:rPr>
            </w:pPr>
            <w:r w:rsidRPr="00F1759E">
              <w:rPr>
                <w:rFonts w:ascii="宋体" w:eastAsia="宋体" w:hAnsi="宋体" w:cs="Arial" w:hint="eastAsia"/>
                <w:b/>
                <w:bCs/>
                <w:color w:val="000000"/>
                <w:sz w:val="18"/>
              </w:rPr>
              <w:t>第六章　法律责任</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第二十九条　建设单位有下列行为之一的，责令限期改正，并处1万元以上3万元以下的罚款；对直接负责的主管人员和其他直接责任人员处1000元以上5000元以下的罚款：  </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（一）未按照本规定提供工程周边环境等资料的；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（二）未按照本规定在招标文件中列出危大工程清单的；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（三）未按照施工合同约定及时支付危大工程施工技术措施费或者相应的安全防护文明施工措施费的；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（四）未按照本规定委托具有相应勘察资质的单位进行第三方监测的；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（五）未对第三方监测单位报告的异常情况组织采取处置措施的。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第三十条　勘察单位未在勘察文件中说明地质条件可能造成的工程风险的，责令限期改正，依照《建设工程安全生产管理条例》对单位进行处罚；对直接负责的主管人员和其他直接责任人员处1000元以上5000元以下的罚款。   </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第三十一条　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   </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第三十二条　施工单位未按照本规定编制并审核危大工程专项施工方案的，依照《建设工程安全生产管理条</w:t>
            </w:r>
            <w:r w:rsidRPr="00F1759E">
              <w:rPr>
                <w:rFonts w:ascii="宋体" w:eastAsia="宋体" w:hAnsi="宋体" w:cs="Arial" w:hint="eastAsia"/>
                <w:color w:val="000000"/>
                <w:sz w:val="18"/>
                <w:szCs w:val="18"/>
              </w:rPr>
              <w:lastRenderedPageBreak/>
              <w:t>例》对单位进行处罚，并暂扣安全生产许可证30日；对直接负责的主管人员和其他直接责任人员处1000元以上5000元以下的罚款。</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第三十三条　施工单位有下列行为之一的，依照《中华人民共和国安全生产法》《建设工程安全生产管理条例》对单位和相关责任人员进行处罚：   </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（一）未向施工现场管理人员和作业人员进行方案交底和安全技术交底的；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（二）未在施工现场显著位置公告危大工程，并在危险区域设置安全警示标志的；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（三）项目专职安全生产管理人员未对专项施工方案实施情况进行现场监督的。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第三十四条　施工单位有下列行为之一的，责令限期改正，处1万元以上3万元以下的罚款，并暂扣安全生产许可证30日；对直接负责的主管人员和其他直接责任人员处1000元以上5000元以下的罚款：</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（一）未对超过一定规模的危大工程专项施工方案进行专家论证的；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（二）未根据专家论证报告对超过一定规模的危大工程专项施工方案进行修改，或者未按照本规定重新组织专家论证的；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（三）未严格按照专项施工方案组织施工，或者擅自修改专项施工方案的。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第三十五条　施工单位有下列行为之一的，责令限期改正，并处1万元以上3万元以下的罚款；对直接负责的主管人员和其他直接责任人员处1000元以上5000元以下的罚款： </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（一）项目负责人未按照本规定现场履职或者组织限期整改的；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（二）施工单位未按照本规定进行施工监测和安全巡视的；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（三）未按照本规定组织危大工程验收的；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（四）发生险情或者事故时，未采取应急处置措施的；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（五）未按照本规定建立危大工程安全管理档案的。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第三十六条　监理单位有下列行为之一的，依照《中华人民共和国安全生产法》《建设工程安全生产管理条例》对单位进行处罚；对直接负责的主管人员和其他直接责任人员处1000元以上5000元以下的罚款：</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（一）总监理工程师未按照本规定审查危大工程专项施工方案的；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（二）发现施工单位未按照专项施工方案实施，未要求其整改或者停工的；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（三）施工单位拒不整改或者不停止施工时，未向建设单位和工程所在地住房城乡建设主管部门报告的。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第三十七条　监理单位有下列行为之一的，责令限期改正，并处1万元以上3万元以下的罚款；对直接负责的主管人员和其他直接责任人员处1000元以上5000元以下的罚款：  </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（一）未按照本规定编制监理实施细则的；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（二）未对危大工程施工实施专项巡视检查的；   </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（三）未按照本规定参与组织危大工程验收的；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（四）未按照本规定建立危大工程安全管理档案的。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第三十八条　监测单位有下列行为之一的，责令限期改正，并处1万元以上3万元以下的罚款；对直接负责的主管人员和其他直接责任人员处1000元以上5000元以下的罚款：  </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（一）未取得相应勘察资质从事第三方监测的；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（二）未按照本规定编制监测方案的；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（三）未按照监测方案开展监测的；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（四）发现异常未及时报告的。</w:t>
            </w:r>
          </w:p>
          <w:p w:rsidR="00F1759E" w:rsidRPr="00F1759E" w:rsidRDefault="00F1759E" w:rsidP="00F1759E">
            <w:pPr>
              <w:adjustRightInd/>
              <w:snapToGrid/>
              <w:spacing w:after="0" w:line="360" w:lineRule="atLeast"/>
              <w:rPr>
                <w:rFonts w:ascii="宋体" w:eastAsia="宋体" w:hAnsi="宋体" w:cs="Arial" w:hint="eastAsia"/>
                <w:color w:val="000000"/>
                <w:sz w:val="18"/>
                <w:szCs w:val="18"/>
              </w:rPr>
            </w:pPr>
            <w:r w:rsidRPr="00F1759E">
              <w:rPr>
                <w:rFonts w:ascii="宋体" w:eastAsia="宋体" w:hAnsi="宋体" w:cs="Arial" w:hint="eastAsia"/>
                <w:color w:val="000000"/>
                <w:sz w:val="18"/>
                <w:szCs w:val="18"/>
              </w:rPr>
              <w:t xml:space="preserve">　　第三十九条　县级以上地方人民政府住房城乡建设主管部门或者所属施工安全监督机构的工作人员，未依法</w:t>
            </w:r>
            <w:r w:rsidRPr="00F1759E">
              <w:rPr>
                <w:rFonts w:ascii="宋体" w:eastAsia="宋体" w:hAnsi="宋体" w:cs="Arial" w:hint="eastAsia"/>
                <w:color w:val="000000"/>
                <w:sz w:val="18"/>
                <w:szCs w:val="18"/>
              </w:rPr>
              <w:lastRenderedPageBreak/>
              <w:t>履行危大工程安全监督管理职责的，依照有关规定给予处分。</w:t>
            </w:r>
          </w:p>
          <w:p w:rsidR="00F1759E" w:rsidRPr="00F1759E" w:rsidRDefault="00F1759E" w:rsidP="00F1759E">
            <w:pPr>
              <w:adjustRightInd/>
              <w:snapToGrid/>
              <w:spacing w:after="0" w:line="360" w:lineRule="atLeast"/>
              <w:jc w:val="center"/>
              <w:rPr>
                <w:rFonts w:ascii="宋体" w:eastAsia="宋体" w:hAnsi="宋体" w:cs="Arial" w:hint="eastAsia"/>
                <w:color w:val="000000"/>
                <w:sz w:val="18"/>
                <w:szCs w:val="18"/>
              </w:rPr>
            </w:pPr>
            <w:r w:rsidRPr="00F1759E">
              <w:rPr>
                <w:rFonts w:ascii="宋体" w:eastAsia="宋体" w:hAnsi="宋体" w:cs="Arial" w:hint="eastAsia"/>
                <w:b/>
                <w:bCs/>
                <w:color w:val="000000"/>
                <w:sz w:val="18"/>
              </w:rPr>
              <w:t>第七章　附则</w:t>
            </w:r>
          </w:p>
          <w:p w:rsidR="00F1759E" w:rsidRPr="00F1759E" w:rsidRDefault="00F1759E" w:rsidP="00F1759E">
            <w:pPr>
              <w:adjustRightInd/>
              <w:snapToGrid/>
              <w:spacing w:after="0" w:line="360" w:lineRule="atLeast"/>
              <w:rPr>
                <w:rFonts w:ascii="宋体" w:eastAsia="宋体" w:hAnsi="宋体" w:cs="Arial"/>
                <w:color w:val="000000"/>
                <w:sz w:val="18"/>
                <w:szCs w:val="18"/>
              </w:rPr>
            </w:pPr>
            <w:r w:rsidRPr="00F1759E">
              <w:rPr>
                <w:rFonts w:ascii="宋体" w:eastAsia="宋体" w:hAnsi="宋体" w:cs="Arial" w:hint="eastAsia"/>
                <w:color w:val="000000"/>
                <w:sz w:val="18"/>
                <w:szCs w:val="18"/>
              </w:rPr>
              <w:t xml:space="preserve">　　第四十条　本规定自2018年6月1日起施行。</w:t>
            </w:r>
          </w:p>
        </w:tc>
      </w:tr>
      <w:tr w:rsidR="00F1759E" w:rsidRPr="00F1759E" w:rsidTr="00F1759E">
        <w:trPr>
          <w:tblCellSpacing w:w="15" w:type="dxa"/>
          <w:jc w:val="center"/>
        </w:trPr>
        <w:tc>
          <w:tcPr>
            <w:tcW w:w="0" w:type="auto"/>
            <w:shd w:val="clear" w:color="auto" w:fill="FFFFFF"/>
            <w:vAlign w:val="center"/>
            <w:hideMark/>
          </w:tcPr>
          <w:p w:rsidR="00F1759E" w:rsidRPr="00F1759E" w:rsidRDefault="00F1759E" w:rsidP="00F1759E">
            <w:pPr>
              <w:adjustRightInd/>
              <w:snapToGrid/>
              <w:spacing w:after="0"/>
              <w:jc w:val="right"/>
              <w:rPr>
                <w:rFonts w:ascii="宋体" w:eastAsia="宋体" w:hAnsi="宋体" w:cs="Arial"/>
                <w:color w:val="000000"/>
                <w:sz w:val="21"/>
                <w:szCs w:val="21"/>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A5412B"/>
    <w:rsid w:val="00D31D50"/>
    <w:rsid w:val="00F175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759E"/>
    <w:rPr>
      <w:b/>
      <w:bCs/>
    </w:rPr>
  </w:style>
</w:styles>
</file>

<file path=word/webSettings.xml><?xml version="1.0" encoding="utf-8"?>
<w:webSettings xmlns:r="http://schemas.openxmlformats.org/officeDocument/2006/relationships" xmlns:w="http://schemas.openxmlformats.org/wordprocessingml/2006/main">
  <w:divs>
    <w:div w:id="185026260">
      <w:bodyDiv w:val="1"/>
      <w:marLeft w:val="0"/>
      <w:marRight w:val="0"/>
      <w:marTop w:val="0"/>
      <w:marBottom w:val="0"/>
      <w:divBdr>
        <w:top w:val="none" w:sz="0" w:space="0" w:color="auto"/>
        <w:left w:val="none" w:sz="0" w:space="0" w:color="auto"/>
        <w:bottom w:val="none" w:sz="0" w:space="0" w:color="auto"/>
        <w:right w:val="none" w:sz="0" w:space="0" w:color="auto"/>
      </w:divBdr>
      <w:divsChild>
        <w:div w:id="1318804196">
          <w:marLeft w:val="0"/>
          <w:marRight w:val="0"/>
          <w:marTop w:val="0"/>
          <w:marBottom w:val="0"/>
          <w:divBdr>
            <w:top w:val="none" w:sz="0" w:space="0" w:color="auto"/>
            <w:left w:val="none" w:sz="0" w:space="0" w:color="auto"/>
            <w:bottom w:val="none" w:sz="0" w:space="0" w:color="auto"/>
            <w:right w:val="none" w:sz="0" w:space="0" w:color="auto"/>
          </w:divBdr>
          <w:divsChild>
            <w:div w:id="16194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2019-03-12T06:17:00Z</dcterms:modified>
</cp:coreProperties>
</file>